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5657850</wp:posOffset>
            </wp:positionH>
            <wp:positionV relativeFrom="paragraph">
              <wp:posOffset>0</wp:posOffset>
            </wp:positionV>
            <wp:extent cx="1542582" cy="1271588"/>
            <wp:effectExtent b="0" l="0" r="0" t="0"/>
            <wp:wrapSquare wrapText="bothSides" distB="0" distT="0" distL="114300" distR="114300"/>
            <wp:docPr descr="C:\Users\DR. Sally\Desktop\لوجوهات الكليات\كلية تكنولوجيا المعلومات-2.png" id="1" name="image1.png"/>
            <a:graphic>
              <a:graphicData uri="http://schemas.openxmlformats.org/drawingml/2006/picture">
                <pic:pic>
                  <pic:nvPicPr>
                    <pic:cNvPr descr="C:\Users\DR. Sally\Desktop\لوجوهات الكليات\كلية تكنولوجيا المعلومات-2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2582" cy="1271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813.0" w:type="dxa"/>
        <w:jc w:val="center"/>
        <w:tblLayout w:type="fixed"/>
        <w:tblLook w:val="0400"/>
      </w:tblPr>
      <w:tblGrid>
        <w:gridCol w:w="2205"/>
        <w:gridCol w:w="9608"/>
        <w:tblGridChange w:id="0">
          <w:tblGrid>
            <w:gridCol w:w="2205"/>
            <w:gridCol w:w="9608"/>
          </w:tblGrid>
        </w:tblGridChange>
      </w:tblGrid>
      <w:tr>
        <w:trPr>
          <w:cantSplit w:val="0"/>
          <w:trHeight w:val="13680" w:hRule="atLeast"/>
          <w:tblHeader w:val="0"/>
        </w:trPr>
        <w:tc>
          <w:tcPr>
            <w:shd w:fill="c0272d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TheSans" w:cs="TheSans" w:eastAsia="TheSans" w:hAnsi="TheSans"/>
              </w:rPr>
            </w:pPr>
            <w:r w:rsidDel="00000000" w:rsidR="00000000" w:rsidRPr="00000000">
              <w:rPr>
                <w:rFonts w:ascii="TheSans" w:cs="TheSans" w:eastAsia="TheSans" w:hAnsi="TheSans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TheSans" w:cs="TheSans" w:eastAsia="TheSans" w:hAnsi="The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jc w:val="left"/>
              <w:rPr>
                <w:rFonts w:ascii="TheSans" w:cs="TheSans" w:eastAsia="TheSans" w:hAnsi="TheSans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c39953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TheSans" w:cs="TheSans" w:eastAsia="TheSans" w:hAnsi="TheSans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ffffff"/>
                <w:rtl w:val="0"/>
              </w:rPr>
              <w:t xml:space="preserve">FACULTY OF</w:t>
              <w:br w:type="textWrapping"/>
              <w:t xml:space="preserve">INFORMATION</w:t>
              <w:br w:type="textWrapping"/>
              <w:t xml:space="preserve">TECHNOLOGY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TheSans" w:cs="TheSans" w:eastAsia="TheSans" w:hAnsi="TheSans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ffffff"/>
                <w:rtl w:val="0"/>
              </w:rPr>
              <w:t xml:space="preserve">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TheSans" w:cs="TheSans" w:eastAsia="TheSans" w:hAnsi="TheSans"/>
                <w:b w:val="1"/>
                <w:bCs w:val="1"/>
                <w:color w:val="b3191d"/>
              </w:rPr>
            </w:pPr>
            <w:bookmarkStart w:colFirst="0" w:colLast="0" w:name="_heading=h.jdwo2nduyq9k" w:id="0"/>
            <w:bookmarkEnd w:id="0"/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b3191d"/>
                <w:rtl w:val="0"/>
              </w:rPr>
              <w:t xml:space="preserve">STARDOM UNIVERSITY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TheSans" w:cs="TheSans" w:eastAsia="TheSans" w:hAnsi="TheSans"/>
                <w:b w:val="1"/>
                <w:bCs w:val="1"/>
                <w:color w:val="b3191d"/>
              </w:rPr>
            </w:pPr>
            <w:bookmarkStart w:colFirst="0" w:colLast="0" w:name="_heading=h.u39w5ngubrv8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</w:rPr>
            </w:pPr>
            <w:bookmarkStart w:colFirst="0" w:colLast="0" w:name="_heading=h.3638qxa8z011" w:id="2"/>
            <w:bookmarkEnd w:id="2"/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t xml:space="preserve">كلية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t xml:space="preserve">الحاسبات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1"/>
              </w:rPr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FACULTY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OF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INFORMATION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6"/>
                <w:szCs w:val="26"/>
                <w:rtl w:val="0"/>
              </w:rPr>
              <w:t xml:space="preserve">TECHNOLOG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0272d"/>
                <w:sz w:val="24"/>
                <w:szCs w:val="24"/>
                <w:rtl w:val="0"/>
              </w:rPr>
              <w:t xml:space="preserve">Y</w:t>
              <w:br w:type="textWrapping"/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  ITS</w:t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1"/>
              </w:rPr>
              <w:t xml:space="preserve">أطروحة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PhD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rFonts w:ascii="TheSans" w:cs="TheSans" w:eastAsia="TheSans" w:hAnsi="TheSans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TheSans" w:cs="TheSans" w:eastAsia="TheSans" w:hAnsi="TheSans"/>
                <w:sz w:val="24"/>
                <w:szCs w:val="24"/>
              </w:rPr>
            </w:pPr>
            <w:r w:rsidDel="00000000" w:rsidR="00000000" w:rsidRPr="00000000">
              <w:rPr>
                <w:rFonts w:ascii="TheSans" w:cs="TheSans" w:eastAsia="TheSans" w:hAnsi="TheSans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bidi w:val="1"/>
        <w:rPr>
          <w:rFonts w:ascii="TheSans" w:cs="TheSans" w:eastAsia="TheSans" w:hAnsi="TheSan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The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bdT70fI9s+oDvvFT/V8PMuYSsA==">CgMxLjAyDmguamR3bzJuZHV5cTlrMg5oLnUzOXc1bmd1YnJ2ODIOaC4zNjM4cXhhOHowMTE4AHIhMWtfazVKd29JcmJXNXhma0poQXRyMVJJay1hcXA3RHhz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